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F3441" w14:textId="77777777" w:rsidR="00E61FD5" w:rsidRPr="00BD6A2D" w:rsidRDefault="00BD6A2D">
      <w:pPr>
        <w:spacing w:line="480" w:lineRule="auto"/>
        <w:rPr>
          <w:rStyle w:val="af1"/>
          <w:rFonts w:ascii="Times New Roman" w:hAnsi="Times New Roman" w:cs="Times New Roman"/>
          <w:szCs w:val="21"/>
        </w:rPr>
      </w:pPr>
      <w:r w:rsidRPr="00BD6A2D">
        <w:rPr>
          <w:rStyle w:val="af1"/>
          <w:rFonts w:ascii="Times New Roman" w:hAnsi="Times New Roman" w:cs="Times New Roman" w:hint="eastAsia"/>
          <w:szCs w:val="21"/>
        </w:rPr>
        <w:t xml:space="preserve">2.12 </w:t>
      </w:r>
      <w:bookmarkStart w:id="0" w:name="OLE_LINK7"/>
      <w:r w:rsidRPr="00BD6A2D">
        <w:rPr>
          <w:rFonts w:ascii="Times New Roman" w:hAnsi="Times New Roman" w:cs="Times New Roman"/>
          <w:b/>
          <w:bCs/>
          <w:szCs w:val="21"/>
        </w:rPr>
        <w:t>RT-qPCR</w:t>
      </w:r>
      <w:bookmarkEnd w:id="0"/>
      <w:r w:rsidRPr="00BD6A2D">
        <w:rPr>
          <w:rFonts w:ascii="Times New Roman" w:hAnsi="Times New Roman" w:cs="Times New Roman"/>
          <w:b/>
          <w:bCs/>
          <w:szCs w:val="21"/>
        </w:rPr>
        <w:t xml:space="preserve"> for Detection of </w:t>
      </w:r>
      <w:r w:rsidRPr="00BD6A2D">
        <w:rPr>
          <w:rFonts w:ascii="Times New Roman" w:hAnsi="Times New Roman" w:cs="Times New Roman" w:hint="eastAsia"/>
          <w:b/>
          <w:bCs/>
          <w:i/>
          <w:iCs/>
          <w:szCs w:val="21"/>
        </w:rPr>
        <w:t>SLC1A5</w:t>
      </w:r>
      <w:r w:rsidRPr="00BD6A2D">
        <w:rPr>
          <w:rFonts w:ascii="Times New Roman" w:hAnsi="Times New Roman" w:cs="Times New Roman" w:hint="eastAsia"/>
          <w:b/>
          <w:bCs/>
          <w:szCs w:val="21"/>
        </w:rPr>
        <w:t xml:space="preserve"> and </w:t>
      </w:r>
      <w:r w:rsidRPr="00BD6A2D">
        <w:rPr>
          <w:rFonts w:ascii="Times New Roman" w:eastAsia="仿宋" w:hAnsi="Times New Roman" w:cs="Times New Roman" w:hint="eastAsia"/>
          <w:b/>
          <w:i/>
          <w:iCs/>
          <w:color w:val="000000" w:themeColor="text1"/>
          <w:szCs w:val="21"/>
        </w:rPr>
        <w:t>c-</w:t>
      </w:r>
      <w:proofErr w:type="spellStart"/>
      <w:r w:rsidRPr="00BD6A2D">
        <w:rPr>
          <w:rFonts w:ascii="Times New Roman" w:eastAsia="仿宋" w:hAnsi="Times New Roman" w:cs="Times New Roman" w:hint="eastAsia"/>
          <w:b/>
          <w:i/>
          <w:iCs/>
          <w:color w:val="000000" w:themeColor="text1"/>
          <w:szCs w:val="21"/>
        </w:rPr>
        <w:t>Myc</w:t>
      </w:r>
      <w:proofErr w:type="spellEnd"/>
      <w:r w:rsidRPr="00BD6A2D">
        <w:rPr>
          <w:rFonts w:ascii="Times New Roman" w:hAnsi="Times New Roman" w:cs="Times New Roman"/>
          <w:b/>
          <w:bCs/>
          <w:szCs w:val="21"/>
        </w:rPr>
        <w:t xml:space="preserve"> Expression</w:t>
      </w:r>
      <w:r w:rsidRPr="00BD6A2D">
        <w:rPr>
          <w:rFonts w:ascii="Times New Roman" w:hAnsi="Times New Roman" w:cs="Times New Roman" w:hint="eastAsia"/>
          <w:b/>
          <w:bCs/>
          <w:szCs w:val="21"/>
        </w:rPr>
        <w:t xml:space="preserve"> in rats</w:t>
      </w:r>
    </w:p>
    <w:p w14:paraId="5F945C95" w14:textId="33F15F2E" w:rsidR="00E61FD5" w:rsidRPr="00BD6A2D" w:rsidRDefault="00BD6A2D">
      <w:pPr>
        <w:spacing w:line="480" w:lineRule="auto"/>
        <w:rPr>
          <w:rFonts w:ascii="Times New Roman" w:hAnsi="Times New Roman" w:cs="Times New Roman"/>
          <w:szCs w:val="21"/>
        </w:rPr>
      </w:pPr>
      <w:r w:rsidRPr="00BD6A2D">
        <w:rPr>
          <w:rFonts w:ascii="Times New Roman" w:hAnsi="Times New Roman" w:cs="Times New Roman"/>
          <w:szCs w:val="21"/>
        </w:rPr>
        <w:t xml:space="preserve"> To detect the expression of </w:t>
      </w:r>
      <w:r w:rsidRPr="00BD6A2D">
        <w:rPr>
          <w:rFonts w:ascii="Times New Roman" w:hAnsi="Times New Roman" w:cs="Times New Roman"/>
          <w:i/>
          <w:iCs/>
          <w:szCs w:val="21"/>
        </w:rPr>
        <w:t>SLC1A5</w:t>
      </w:r>
      <w:r w:rsidRPr="00BD6A2D">
        <w:rPr>
          <w:rFonts w:ascii="Times New Roman" w:hAnsi="Times New Roman" w:cs="Times New Roman"/>
          <w:szCs w:val="21"/>
        </w:rPr>
        <w:t xml:space="preserve"> and </w:t>
      </w:r>
      <w:r w:rsidRPr="00BD6A2D">
        <w:rPr>
          <w:rFonts w:ascii="Times New Roman" w:hAnsi="Times New Roman" w:cs="Times New Roman" w:hint="eastAsia"/>
          <w:i/>
          <w:iCs/>
          <w:szCs w:val="21"/>
        </w:rPr>
        <w:t>c-</w:t>
      </w:r>
      <w:proofErr w:type="spellStart"/>
      <w:r w:rsidRPr="00BD6A2D">
        <w:rPr>
          <w:rFonts w:ascii="Times New Roman" w:hAnsi="Times New Roman" w:cs="Times New Roman" w:hint="eastAsia"/>
          <w:i/>
          <w:iCs/>
          <w:szCs w:val="21"/>
        </w:rPr>
        <w:t>Myc</w:t>
      </w:r>
      <w:proofErr w:type="spellEnd"/>
      <w:r w:rsidRPr="00BD6A2D">
        <w:rPr>
          <w:rFonts w:ascii="Times New Roman" w:hAnsi="Times New Roman" w:cs="Times New Roman" w:hint="eastAsia"/>
          <w:i/>
          <w:iCs/>
          <w:szCs w:val="21"/>
        </w:rPr>
        <w:t xml:space="preserve"> </w:t>
      </w:r>
      <w:r w:rsidRPr="00BD6A2D">
        <w:rPr>
          <w:rFonts w:ascii="Times New Roman" w:hAnsi="Times New Roman" w:cs="Times New Roman"/>
          <w:szCs w:val="21"/>
        </w:rPr>
        <w:t>in rat</w:t>
      </w:r>
      <w:r w:rsidRPr="00BD6A2D">
        <w:rPr>
          <w:rFonts w:ascii="Times New Roman" w:hAnsi="Times New Roman" w:cs="Times New Roman" w:hint="eastAsia"/>
          <w:szCs w:val="21"/>
        </w:rPr>
        <w:t xml:space="preserve"> EMs lesions</w:t>
      </w:r>
      <w:r w:rsidRPr="00BD6A2D">
        <w:rPr>
          <w:rFonts w:ascii="Times New Roman" w:hAnsi="Times New Roman" w:cs="Times New Roman"/>
          <w:szCs w:val="21"/>
        </w:rPr>
        <w:t>.</w:t>
      </w:r>
      <w:r w:rsidRPr="00BD6A2D">
        <w:rPr>
          <w:rFonts w:ascii="Times New Roman" w:hAnsi="Times New Roman" w:cs="Times New Roman" w:hint="eastAsia"/>
          <w:szCs w:val="21"/>
        </w:rPr>
        <w:t xml:space="preserve"> RT-qPCR were performed under the kit instruction.</w:t>
      </w:r>
      <w:r w:rsidRPr="00BD6A2D">
        <w:rPr>
          <w:rFonts w:ascii="Times New Roman" w:hAnsi="Times New Roman" w:cs="Times New Roman"/>
          <w:szCs w:val="21"/>
        </w:rPr>
        <w:t xml:space="preserve"> </w:t>
      </w:r>
      <w:r w:rsidRPr="00BD6A2D">
        <w:rPr>
          <w:rFonts w:ascii="Times New Roman" w:hAnsi="Times New Roman" w:cs="Times New Roman" w:hint="eastAsia"/>
          <w:szCs w:val="21"/>
        </w:rPr>
        <w:t>Firstly,</w:t>
      </w:r>
      <w:r w:rsidRPr="00BD6A2D">
        <w:rPr>
          <w:rFonts w:ascii="Times New Roman" w:hAnsi="Times New Roman" w:cs="Times New Roman"/>
          <w:szCs w:val="21"/>
        </w:rPr>
        <w:t xml:space="preserve"> </w:t>
      </w:r>
      <w:r w:rsidRPr="00BD6A2D">
        <w:rPr>
          <w:rFonts w:ascii="Times New Roman" w:hAnsi="Times New Roman" w:cs="Times New Roman" w:hint="eastAsia"/>
          <w:szCs w:val="21"/>
        </w:rPr>
        <w:t>e</w:t>
      </w:r>
      <w:r w:rsidRPr="00BD6A2D">
        <w:rPr>
          <w:rFonts w:ascii="Times New Roman" w:hAnsi="Times New Roman" w:cs="Times New Roman"/>
          <w:szCs w:val="21"/>
        </w:rPr>
        <w:t>xtraction of Total RNA from Tissue:</w:t>
      </w:r>
      <w:r w:rsidRPr="00BD6A2D">
        <w:rPr>
          <w:rFonts w:ascii="Times New Roman" w:hAnsi="Times New Roman" w:cs="Times New Roman" w:hint="eastAsia"/>
          <w:szCs w:val="21"/>
        </w:rPr>
        <w:t xml:space="preserve"> </w:t>
      </w:r>
      <w:r w:rsidRPr="00BD6A2D">
        <w:rPr>
          <w:rFonts w:ascii="Times New Roman" w:hAnsi="Times New Roman" w:cs="Times New Roman"/>
          <w:szCs w:val="21"/>
        </w:rPr>
        <w:t xml:space="preserve">Take 10 mg of fresh tissue and add 500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of Buffer RL from the </w:t>
      </w:r>
      <w:proofErr w:type="spellStart"/>
      <w:r w:rsidRPr="00BD6A2D">
        <w:rPr>
          <w:rFonts w:ascii="Times New Roman" w:hAnsi="Times New Roman" w:cs="Times New Roman"/>
          <w:szCs w:val="21"/>
        </w:rPr>
        <w:t>FastPure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Tissue Total RNA Isolation Kit (</w:t>
      </w:r>
      <w:proofErr w:type="spellStart"/>
      <w:r w:rsidRPr="00BD6A2D">
        <w:rPr>
          <w:rFonts w:ascii="Times New Roman" w:hAnsi="Times New Roman" w:cs="Times New Roman"/>
          <w:szCs w:val="21"/>
        </w:rPr>
        <w:t>Beyotime</w:t>
      </w:r>
      <w:proofErr w:type="spellEnd"/>
      <w:r w:rsidRPr="00BD6A2D">
        <w:rPr>
          <w:rFonts w:ascii="Times New Roman" w:hAnsi="Times New Roman" w:cs="Times New Roman"/>
          <w:szCs w:val="21"/>
        </w:rPr>
        <w:t>, China, Cat#: P1101).</w:t>
      </w:r>
      <w:r w:rsidRPr="00BD6A2D">
        <w:rPr>
          <w:rFonts w:ascii="Times New Roman" w:hAnsi="Times New Roman" w:cs="Times New Roman" w:hint="eastAsia"/>
          <w:szCs w:val="21"/>
        </w:rPr>
        <w:t xml:space="preserve"> </w:t>
      </w:r>
      <w:r w:rsidRPr="00BD6A2D">
        <w:rPr>
          <w:rFonts w:ascii="Times New Roman" w:hAnsi="Times New Roman" w:cs="Times New Roman"/>
          <w:szCs w:val="21"/>
        </w:rPr>
        <w:t xml:space="preserve"> Homogenize the sample using a glass homogenizer until no obvious tissue chunks remain.</w:t>
      </w:r>
      <w:r w:rsidRPr="00BD6A2D">
        <w:rPr>
          <w:rFonts w:ascii="Times New Roman" w:hAnsi="Times New Roman" w:cs="Times New Roman" w:hint="eastAsia"/>
          <w:szCs w:val="21"/>
        </w:rPr>
        <w:t xml:space="preserve"> </w:t>
      </w:r>
      <w:r w:rsidRPr="00BD6A2D">
        <w:rPr>
          <w:rFonts w:ascii="Times New Roman" w:hAnsi="Times New Roman" w:cs="Times New Roman"/>
          <w:szCs w:val="21"/>
        </w:rPr>
        <w:t xml:space="preserve">Transfer the lysed sample to the </w:t>
      </w:r>
      <w:proofErr w:type="spellStart"/>
      <w:r w:rsidRPr="00BD6A2D">
        <w:rPr>
          <w:rFonts w:ascii="Times New Roman" w:hAnsi="Times New Roman" w:cs="Times New Roman"/>
          <w:szCs w:val="21"/>
        </w:rPr>
        <w:t>FastPure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gDNA-Filer Columns III and centrifuge at 12,000 rpm for 30 seconds.</w:t>
      </w:r>
      <w:r w:rsidRPr="00BD6A2D">
        <w:rPr>
          <w:rFonts w:ascii="Times New Roman" w:hAnsi="Times New Roman" w:cs="Times New Roman" w:hint="eastAsia"/>
          <w:szCs w:val="21"/>
        </w:rPr>
        <w:t xml:space="preserve"> </w:t>
      </w:r>
      <w:r w:rsidRPr="00BD6A2D">
        <w:rPr>
          <w:rFonts w:ascii="Times New Roman" w:hAnsi="Times New Roman" w:cs="Times New Roman"/>
          <w:szCs w:val="21"/>
        </w:rPr>
        <w:t>Discard the Columns III, collect the filtrate in a collection tube, add 0.5 times the volume of anhydrous ethanol (Sigma-Aldrich, USA, Cat#: 100983), and mix thoroughly.</w:t>
      </w:r>
      <w:r w:rsidRPr="00BD6A2D">
        <w:rPr>
          <w:rFonts w:ascii="Times New Roman" w:hAnsi="Times New Roman" w:cs="Times New Roman" w:hint="eastAsia"/>
          <w:szCs w:val="21"/>
        </w:rPr>
        <w:t xml:space="preserve"> </w:t>
      </w:r>
      <w:r w:rsidRPr="00BD6A2D">
        <w:rPr>
          <w:rFonts w:ascii="Times New Roman" w:hAnsi="Times New Roman" w:cs="Times New Roman"/>
          <w:szCs w:val="21"/>
        </w:rPr>
        <w:t xml:space="preserve">Transfer the entire mixture to the </w:t>
      </w:r>
      <w:proofErr w:type="spellStart"/>
      <w:r w:rsidRPr="00BD6A2D">
        <w:rPr>
          <w:rFonts w:ascii="Times New Roman" w:hAnsi="Times New Roman" w:cs="Times New Roman"/>
          <w:szCs w:val="21"/>
        </w:rPr>
        <w:t>FastPure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RNA Columns III and centrifuge at 12,000 rpm for 30 seconds.</w:t>
      </w:r>
      <w:r w:rsidRPr="00BD6A2D">
        <w:rPr>
          <w:rFonts w:ascii="Times New Roman" w:hAnsi="Times New Roman" w:cs="Times New Roman" w:hint="eastAsia"/>
          <w:szCs w:val="21"/>
        </w:rPr>
        <w:t xml:space="preserve"> </w:t>
      </w:r>
      <w:r w:rsidRPr="00BD6A2D">
        <w:rPr>
          <w:rFonts w:ascii="Times New Roman" w:hAnsi="Times New Roman" w:cs="Times New Roman"/>
          <w:szCs w:val="21"/>
        </w:rPr>
        <w:t xml:space="preserve">Discard the </w:t>
      </w:r>
      <w:proofErr w:type="spellStart"/>
      <w:r w:rsidRPr="00BD6A2D">
        <w:rPr>
          <w:rFonts w:ascii="Times New Roman" w:hAnsi="Times New Roman" w:cs="Times New Roman"/>
          <w:szCs w:val="21"/>
        </w:rPr>
        <w:t>filtrate.Add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700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of Buffer RW1 to the </w:t>
      </w:r>
      <w:proofErr w:type="spellStart"/>
      <w:r w:rsidRPr="00BD6A2D">
        <w:rPr>
          <w:rFonts w:ascii="Times New Roman" w:hAnsi="Times New Roman" w:cs="Times New Roman"/>
          <w:szCs w:val="21"/>
        </w:rPr>
        <w:t>FastPure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RNA Columns III, centrifuge at 12,000 rpm for 30 seconds, and discard the </w:t>
      </w:r>
      <w:proofErr w:type="spellStart"/>
      <w:r w:rsidRPr="00BD6A2D">
        <w:rPr>
          <w:rFonts w:ascii="Times New Roman" w:hAnsi="Times New Roman" w:cs="Times New Roman"/>
          <w:szCs w:val="21"/>
        </w:rPr>
        <w:t>filtrate.Add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700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of Buffer RW2 to the </w:t>
      </w:r>
      <w:proofErr w:type="spellStart"/>
      <w:r w:rsidRPr="00BD6A2D">
        <w:rPr>
          <w:rFonts w:ascii="Times New Roman" w:hAnsi="Times New Roman" w:cs="Times New Roman"/>
          <w:szCs w:val="21"/>
        </w:rPr>
        <w:t>FastPure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RNA Columns III, centrifuge at 12,000 rpm for 30 seconds, and discard the </w:t>
      </w:r>
      <w:proofErr w:type="spellStart"/>
      <w:r w:rsidRPr="00BD6A2D">
        <w:rPr>
          <w:rFonts w:ascii="Times New Roman" w:hAnsi="Times New Roman" w:cs="Times New Roman"/>
          <w:szCs w:val="21"/>
        </w:rPr>
        <w:t>filtrate.Add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500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of Buffer RW2 (pre-mixed with anhydrous ethanol) to the </w:t>
      </w:r>
      <w:proofErr w:type="spellStart"/>
      <w:r w:rsidRPr="00BD6A2D">
        <w:rPr>
          <w:rFonts w:ascii="Times New Roman" w:hAnsi="Times New Roman" w:cs="Times New Roman"/>
          <w:szCs w:val="21"/>
        </w:rPr>
        <w:t>FastPure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RNA Columns III, centrifuge at 12,000 rpm for 2 minutes. Carefully remove the column from the collection tube to avoid contact with the filtrate, which could cause </w:t>
      </w:r>
      <w:proofErr w:type="spellStart"/>
      <w:proofErr w:type="gramStart"/>
      <w:r w:rsidRPr="00BD6A2D">
        <w:rPr>
          <w:rFonts w:ascii="Times New Roman" w:hAnsi="Times New Roman" w:cs="Times New Roman"/>
          <w:szCs w:val="21"/>
        </w:rPr>
        <w:t>contamination.Centrifuge</w:t>
      </w:r>
      <w:proofErr w:type="spellEnd"/>
      <w:proofErr w:type="gramEnd"/>
      <w:r w:rsidRPr="00BD6A2D">
        <w:rPr>
          <w:rFonts w:ascii="Times New Roman" w:hAnsi="Times New Roman" w:cs="Times New Roman"/>
          <w:szCs w:val="21"/>
        </w:rPr>
        <w:t xml:space="preserve"> the column at 12,000 rpm for 1 minute to prevent ethanol contamination.</w:t>
      </w:r>
      <w:r w:rsidRPr="00BD6A2D">
        <w:rPr>
          <w:rFonts w:ascii="Times New Roman" w:hAnsi="Times New Roman" w:cs="Times New Roman" w:hint="eastAsia"/>
          <w:szCs w:val="21"/>
        </w:rPr>
        <w:t xml:space="preserve"> </w:t>
      </w:r>
      <w:r w:rsidRPr="00BD6A2D">
        <w:rPr>
          <w:rFonts w:ascii="Times New Roman" w:hAnsi="Times New Roman" w:cs="Times New Roman"/>
          <w:szCs w:val="21"/>
        </w:rPr>
        <w:t xml:space="preserve">Carefully transfer the column to a new RNase-free collection tube. Add 30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of RNase-free ddH2O (Thermo Fisher Scientific, USA, Cat#: 10977-035) to the center of the column, incubate at room temperature for 3 minutes, and then centrifuge at 12,000 rpm for 1 minute to elute the RNA. An additional washing step can be performed by centrifuging a second time to elute further.</w:t>
      </w:r>
      <w:r w:rsidRPr="00BD6A2D">
        <w:rPr>
          <w:rFonts w:ascii="Times New Roman" w:hAnsi="Times New Roman" w:cs="Times New Roman" w:hint="eastAsia"/>
          <w:szCs w:val="21"/>
        </w:rPr>
        <w:t xml:space="preserve"> </w:t>
      </w:r>
      <w:r w:rsidRPr="00BD6A2D">
        <w:rPr>
          <w:rFonts w:ascii="Times New Roman" w:hAnsi="Times New Roman" w:cs="Times New Roman"/>
          <w:szCs w:val="21"/>
        </w:rPr>
        <w:t xml:space="preserve">Measure the RNA concentration and purity using a </w:t>
      </w:r>
      <w:proofErr w:type="spellStart"/>
      <w:r w:rsidRPr="00BD6A2D">
        <w:rPr>
          <w:rFonts w:ascii="Times New Roman" w:hAnsi="Times New Roman" w:cs="Times New Roman"/>
          <w:szCs w:val="21"/>
        </w:rPr>
        <w:t>NanoDrop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</w:t>
      </w:r>
      <w:r w:rsidRPr="00BD6A2D">
        <w:rPr>
          <w:rFonts w:ascii="Times New Roman" w:hAnsi="Times New Roman" w:cs="Times New Roman" w:hint="eastAsia"/>
          <w:szCs w:val="21"/>
        </w:rPr>
        <w:t>2</w:t>
      </w:r>
      <w:r w:rsidRPr="00BD6A2D">
        <w:rPr>
          <w:rFonts w:ascii="Times New Roman" w:hAnsi="Times New Roman" w:cs="Times New Roman"/>
          <w:szCs w:val="21"/>
        </w:rPr>
        <w:t>000 (Thermo Fisher Scientific, USA)</w:t>
      </w:r>
      <w:r w:rsidR="00A56503" w:rsidRPr="00A56503">
        <w:rPr>
          <w:rFonts w:ascii="Times New Roman" w:hAnsi="Times New Roman" w:cs="Times New Roman"/>
          <w:szCs w:val="21"/>
        </w:rPr>
        <w:t xml:space="preserve"> </w:t>
      </w:r>
      <w:r w:rsidR="00A56503">
        <w:rPr>
          <w:rFonts w:ascii="Times New Roman" w:hAnsi="Times New Roman" w:cs="Times New Roman"/>
          <w:szCs w:val="21"/>
        </w:rPr>
        <w:t>[1]</w:t>
      </w:r>
      <w:bookmarkStart w:id="1" w:name="_GoBack"/>
      <w:bookmarkEnd w:id="1"/>
      <w:r w:rsidRPr="00BD6A2D">
        <w:rPr>
          <w:rFonts w:ascii="Times New Roman" w:hAnsi="Times New Roman" w:cs="Times New Roman"/>
          <w:szCs w:val="21"/>
        </w:rPr>
        <w:t>.</w:t>
      </w:r>
    </w:p>
    <w:p w14:paraId="59B09818" w14:textId="2D3A53FF" w:rsidR="00E61FD5" w:rsidRPr="00BD6A2D" w:rsidRDefault="00BD6A2D">
      <w:pPr>
        <w:spacing w:line="480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BD6A2D">
        <w:rPr>
          <w:rFonts w:ascii="Times New Roman" w:hAnsi="Times New Roman" w:cs="Times New Roman" w:hint="eastAsia"/>
          <w:szCs w:val="21"/>
        </w:rPr>
        <w:t>Secondly, r</w:t>
      </w:r>
      <w:r w:rsidRPr="00BD6A2D">
        <w:rPr>
          <w:rFonts w:ascii="Times New Roman" w:hAnsi="Times New Roman" w:cs="Times New Roman"/>
          <w:szCs w:val="21"/>
        </w:rPr>
        <w:t>everse Transcription of Total RNA to cDNA</w:t>
      </w:r>
      <w:r w:rsidRPr="00BD6A2D">
        <w:rPr>
          <w:rFonts w:ascii="Times New Roman" w:hAnsi="Times New Roman" w:cs="Times New Roman" w:hint="eastAsia"/>
          <w:szCs w:val="21"/>
        </w:rPr>
        <w:t xml:space="preserve">: </w:t>
      </w:r>
      <w:r w:rsidRPr="00BD6A2D">
        <w:rPr>
          <w:rFonts w:ascii="Times New Roman" w:hAnsi="Times New Roman" w:cs="Times New Roman"/>
          <w:szCs w:val="21"/>
        </w:rPr>
        <w:t xml:space="preserve">cDNA synthesis was performed in a </w:t>
      </w:r>
      <w:r w:rsidRPr="00BD6A2D">
        <w:rPr>
          <w:rFonts w:ascii="Times New Roman" w:hAnsi="Times New Roman" w:cs="Times New Roman"/>
          <w:szCs w:val="21"/>
        </w:rPr>
        <w:lastRenderedPageBreak/>
        <w:t xml:space="preserve">20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reaction system. In a 200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Eppendorf tube (RNase-free), 500 ng of RNA, 2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of 5× gDNA wiper mix, and RNase-free water to a total volume of 10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were added. After reacting at 42°C for 2 minutes in a regular PCR machine, the following reagents were added to the mixture: 2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of 10× RT Mix, 2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of </w:t>
      </w:r>
      <w:proofErr w:type="spellStart"/>
      <w:r w:rsidRPr="00BD6A2D">
        <w:rPr>
          <w:rFonts w:ascii="Times New Roman" w:hAnsi="Times New Roman" w:cs="Times New Roman"/>
          <w:szCs w:val="21"/>
        </w:rPr>
        <w:t>Hiscript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III Enzyme Mix, 1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of Oligo(dT)20VN, 1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of Random hexamers, and 4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of RNase-free water. The mixture was mixed well and incubated at 37°C for 15 minutes, followed by 5 seconds at 85°C. The resulting cDNA was stored at -20°C</w:t>
      </w:r>
      <w:r w:rsidR="00A56503">
        <w:rPr>
          <w:rFonts w:ascii="Times New Roman" w:hAnsi="Times New Roman" w:cs="Times New Roman"/>
          <w:szCs w:val="21"/>
        </w:rPr>
        <w:t xml:space="preserve"> [1]</w:t>
      </w:r>
      <w:r w:rsidRPr="00BD6A2D">
        <w:rPr>
          <w:rFonts w:ascii="Times New Roman" w:hAnsi="Times New Roman" w:cs="Times New Roman"/>
          <w:szCs w:val="21"/>
        </w:rPr>
        <w:t>.</w:t>
      </w:r>
    </w:p>
    <w:p w14:paraId="66C7B3FF" w14:textId="4738C73C" w:rsidR="00E61FD5" w:rsidRPr="00BD6A2D" w:rsidRDefault="00BD6A2D">
      <w:pPr>
        <w:spacing w:line="480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BD6A2D">
        <w:rPr>
          <w:rFonts w:ascii="Times New Roman" w:hAnsi="Times New Roman" w:cs="Times New Roman" w:hint="eastAsia"/>
          <w:szCs w:val="21"/>
        </w:rPr>
        <w:t>The last step for</w:t>
      </w:r>
      <w:r w:rsidRPr="00BD6A2D">
        <w:rPr>
          <w:rFonts w:ascii="Times New Roman" w:hAnsi="Times New Roman" w:cs="Times New Roman"/>
          <w:szCs w:val="21"/>
        </w:rPr>
        <w:t xml:space="preserve"> RT-qPCR</w:t>
      </w:r>
      <w:r w:rsidRPr="00BD6A2D">
        <w:rPr>
          <w:rFonts w:ascii="Times New Roman" w:hAnsi="Times New Roman" w:cs="Times New Roman" w:hint="eastAsia"/>
          <w:szCs w:val="21"/>
        </w:rPr>
        <w:t xml:space="preserve">: </w:t>
      </w:r>
      <w:r w:rsidRPr="00BD6A2D">
        <w:rPr>
          <w:rFonts w:ascii="Times New Roman" w:hAnsi="Times New Roman" w:cs="Times New Roman"/>
          <w:szCs w:val="21"/>
        </w:rPr>
        <w:t xml:space="preserve">A 20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reaction system was prepared. In a 100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Eppendorf tube (RNase-free), 5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of 5-fold diluted cDNA, 4.2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of nuclease-free water, 10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of 2× </w:t>
      </w:r>
      <w:proofErr w:type="spellStart"/>
      <w:r w:rsidRPr="00BD6A2D">
        <w:rPr>
          <w:rFonts w:ascii="Times New Roman" w:hAnsi="Times New Roman" w:cs="Times New Roman"/>
          <w:szCs w:val="21"/>
        </w:rPr>
        <w:t>Taq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Pro Universal SYBR qPCR Master Mix, 0.4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of forward primer (10 </w:t>
      </w:r>
      <w:proofErr w:type="spellStart"/>
      <w:r w:rsidRPr="00BD6A2D">
        <w:rPr>
          <w:rFonts w:ascii="Times New Roman" w:hAnsi="Times New Roman" w:cs="Times New Roman"/>
          <w:szCs w:val="21"/>
        </w:rPr>
        <w:t>μM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), and 0.4 </w:t>
      </w:r>
      <w:proofErr w:type="spellStart"/>
      <w:r w:rsidRPr="00BD6A2D">
        <w:rPr>
          <w:rFonts w:ascii="Times New Roman" w:hAnsi="Times New Roman" w:cs="Times New Roman"/>
          <w:szCs w:val="21"/>
        </w:rPr>
        <w:t>μL</w:t>
      </w:r>
      <w:proofErr w:type="spellEnd"/>
      <w:r w:rsidRPr="00BD6A2D">
        <w:rPr>
          <w:rFonts w:ascii="Times New Roman" w:hAnsi="Times New Roman" w:cs="Times New Roman"/>
          <w:szCs w:val="21"/>
        </w:rPr>
        <w:t xml:space="preserve"> of reverse primer (10 </w:t>
      </w:r>
      <w:proofErr w:type="spellStart"/>
      <w:r w:rsidRPr="00BD6A2D">
        <w:rPr>
          <w:rFonts w:ascii="Times New Roman" w:hAnsi="Times New Roman" w:cs="Times New Roman"/>
          <w:szCs w:val="21"/>
        </w:rPr>
        <w:t>μM</w:t>
      </w:r>
      <w:proofErr w:type="spellEnd"/>
      <w:r w:rsidRPr="00BD6A2D">
        <w:rPr>
          <w:rFonts w:ascii="Times New Roman" w:hAnsi="Times New Roman" w:cs="Times New Roman"/>
          <w:szCs w:val="21"/>
        </w:rPr>
        <w:t>) were added. The prepared reagents were then transferred into an 8-well PCR strip, sealed, and placed into the CFX96 Touch 1855195 Real-Time Fluorescent Quantitative PCR System. The reaction parameters were set, and amplification was performed. The results were calculated using the 2-ΔΔCt method. The qPCR process includes the following steps: pre-denaturation at 95°C for 30 seconds, denaturation at 95°C for 10 seconds, annealing at 60°C for 30 seconds, extension at 95°C for 15 seconds, and 40 cycles of repetition. Melt curve analysis was performed by holding at 65°C for 60 seconds, then heating to 95°C and holding for 15 seconds.</w:t>
      </w:r>
      <w:r w:rsidRPr="00BD6A2D">
        <w:rPr>
          <w:rFonts w:ascii="Times New Roman" w:hAnsi="Times New Roman" w:cs="Times New Roman" w:hint="eastAsia"/>
          <w:szCs w:val="21"/>
        </w:rPr>
        <w:t xml:space="preserve"> </w:t>
      </w:r>
      <w:r w:rsidRPr="00BD6A2D">
        <w:rPr>
          <w:rFonts w:ascii="Times New Roman" w:hAnsi="Times New Roman" w:cs="Times New Roman"/>
          <w:szCs w:val="21"/>
        </w:rPr>
        <w:t>Specific primers used for PCR amplification were synthesized based on the sequences listed in Table 1</w:t>
      </w:r>
      <w:r w:rsidR="00A56503">
        <w:rPr>
          <w:rFonts w:ascii="Times New Roman" w:hAnsi="Times New Roman" w:cs="Times New Roman"/>
          <w:szCs w:val="21"/>
        </w:rPr>
        <w:t xml:space="preserve"> </w:t>
      </w:r>
      <w:r w:rsidR="00A56503">
        <w:rPr>
          <w:rFonts w:ascii="Times New Roman" w:hAnsi="Times New Roman" w:cs="Times New Roman"/>
          <w:szCs w:val="21"/>
        </w:rPr>
        <w:t>[1]</w:t>
      </w:r>
      <w:r w:rsidRPr="00BD6A2D">
        <w:rPr>
          <w:rFonts w:ascii="Times New Roman" w:hAnsi="Times New Roman" w:cs="Times New Roman"/>
          <w:szCs w:val="21"/>
        </w:rPr>
        <w:t>.</w:t>
      </w:r>
    </w:p>
    <w:p w14:paraId="0FBAAABF" w14:textId="77777777" w:rsidR="00152FE3" w:rsidRPr="00BD6A2D" w:rsidRDefault="00152FE3">
      <w:pPr>
        <w:spacing w:line="480" w:lineRule="auto"/>
        <w:rPr>
          <w:rFonts w:ascii="Times New Roman" w:hAnsi="Times New Roman" w:cs="Times New Roman"/>
          <w:szCs w:val="21"/>
        </w:rPr>
      </w:pPr>
    </w:p>
    <w:p w14:paraId="1C56DDF9" w14:textId="77777777" w:rsidR="00152FE3" w:rsidRPr="00BD6A2D" w:rsidRDefault="00152FE3">
      <w:pPr>
        <w:spacing w:line="480" w:lineRule="auto"/>
        <w:rPr>
          <w:rFonts w:ascii="Times New Roman" w:hAnsi="Times New Roman" w:cs="Times New Roman"/>
          <w:szCs w:val="21"/>
        </w:rPr>
      </w:pPr>
    </w:p>
    <w:p w14:paraId="628A7881" w14:textId="07EA07DC" w:rsidR="00152FE3" w:rsidRPr="00BD6A2D" w:rsidRDefault="00152FE3" w:rsidP="00152FE3">
      <w:pPr>
        <w:pStyle w:val="EndNoteBibliography"/>
        <w:rPr>
          <w:rFonts w:ascii="Times New Roman" w:hAnsi="Times New Roman" w:cs="Times New Roman"/>
        </w:rPr>
      </w:pPr>
      <w:r w:rsidRPr="00BD6A2D">
        <w:rPr>
          <w:rFonts w:ascii="Times New Roman" w:hAnsi="Times New Roman" w:cs="Times New Roman"/>
          <w:szCs w:val="21"/>
        </w:rPr>
        <w:fldChar w:fldCharType="begin"/>
      </w:r>
      <w:r w:rsidRPr="00BD6A2D">
        <w:rPr>
          <w:rFonts w:ascii="Times New Roman" w:hAnsi="Times New Roman" w:cs="Times New Roman"/>
          <w:szCs w:val="21"/>
        </w:rPr>
        <w:instrText xml:space="preserve"> ADDIN EN.REFLIST </w:instrText>
      </w:r>
      <w:r w:rsidRPr="00BD6A2D">
        <w:rPr>
          <w:rFonts w:ascii="Times New Roman" w:hAnsi="Times New Roman" w:cs="Times New Roman"/>
          <w:szCs w:val="21"/>
        </w:rPr>
        <w:fldChar w:fldCharType="separate"/>
      </w:r>
    </w:p>
    <w:p w14:paraId="5F7DE7BB" w14:textId="7792A926" w:rsidR="00152FE3" w:rsidRPr="00BD6A2D" w:rsidRDefault="00152FE3" w:rsidP="00152FE3">
      <w:pPr>
        <w:pStyle w:val="EndNoteBibliography"/>
        <w:rPr>
          <w:rFonts w:ascii="Times New Roman" w:hAnsi="Times New Roman" w:cs="Times New Roman"/>
        </w:rPr>
      </w:pPr>
      <w:r w:rsidRPr="00BD6A2D">
        <w:rPr>
          <w:rFonts w:ascii="Times New Roman" w:hAnsi="Times New Roman" w:cs="Times New Roman"/>
        </w:rPr>
        <w:t xml:space="preserve">[1] Yao L, Wu J, Wang X, Wang N. LINC01134 Directly Binds and Regulates SLC1A5 Stability to Promotes Colorectal Cancer Progression. J Cancer. 2024; 15: 6135-6147. </w:t>
      </w:r>
      <w:hyperlink r:id="rId4" w:history="1">
        <w:r w:rsidRPr="00BD6A2D">
          <w:rPr>
            <w:rStyle w:val="af8"/>
            <w:rFonts w:ascii="Times New Roman" w:hAnsi="Times New Roman" w:cs="Times New Roman"/>
          </w:rPr>
          <w:t>https://doi.org/10.7150/jca.100147</w:t>
        </w:r>
      </w:hyperlink>
    </w:p>
    <w:p w14:paraId="70900E9E" w14:textId="753DD0BD" w:rsidR="00E61FD5" w:rsidRPr="00BD6A2D" w:rsidRDefault="00152FE3">
      <w:pPr>
        <w:spacing w:line="480" w:lineRule="auto"/>
        <w:rPr>
          <w:rFonts w:ascii="Times New Roman" w:hAnsi="Times New Roman" w:cs="Times New Roman"/>
          <w:szCs w:val="21"/>
        </w:rPr>
      </w:pPr>
      <w:r w:rsidRPr="00BD6A2D">
        <w:rPr>
          <w:rFonts w:ascii="Times New Roman" w:hAnsi="Times New Roman" w:cs="Times New Roman"/>
          <w:szCs w:val="21"/>
        </w:rPr>
        <w:fldChar w:fldCharType="end"/>
      </w:r>
    </w:p>
    <w:sectPr w:rsidR="00E61FD5" w:rsidRPr="00BD6A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Frontiers in Bioscience-Landmark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e5d2rrvs2s99tpef5pyxevrhpx0f90f050ar&quot;&gt;小马图书馆&lt;record-ids&gt;&lt;item&gt;27&lt;/item&gt;&lt;item&gt;30&lt;/item&gt;&lt;/record-ids&gt;&lt;/item&gt;&lt;/Libraries&gt;"/>
  </w:docVars>
  <w:rsids>
    <w:rsidRoot w:val="007D5305"/>
    <w:rsid w:val="000524EF"/>
    <w:rsid w:val="00152FE3"/>
    <w:rsid w:val="001835B9"/>
    <w:rsid w:val="003F3F36"/>
    <w:rsid w:val="00535A98"/>
    <w:rsid w:val="00696C51"/>
    <w:rsid w:val="0078234E"/>
    <w:rsid w:val="007D5305"/>
    <w:rsid w:val="008A2061"/>
    <w:rsid w:val="00937E6E"/>
    <w:rsid w:val="00A56503"/>
    <w:rsid w:val="00AC6B44"/>
    <w:rsid w:val="00BD6A2D"/>
    <w:rsid w:val="00C71239"/>
    <w:rsid w:val="00D76B1E"/>
    <w:rsid w:val="00D82ADC"/>
    <w:rsid w:val="00E61FD5"/>
    <w:rsid w:val="00E623FE"/>
    <w:rsid w:val="00E94D1C"/>
    <w:rsid w:val="00EE59B6"/>
    <w:rsid w:val="00F266FE"/>
    <w:rsid w:val="149C7998"/>
    <w:rsid w:val="16B234A2"/>
    <w:rsid w:val="358A766C"/>
    <w:rsid w:val="3CB11983"/>
    <w:rsid w:val="3D0221DE"/>
    <w:rsid w:val="4F6E3703"/>
    <w:rsid w:val="51254295"/>
    <w:rsid w:val="51D44275"/>
    <w:rsid w:val="559F2CF7"/>
    <w:rsid w:val="55A0038E"/>
    <w:rsid w:val="6170330B"/>
    <w:rsid w:val="641536BE"/>
    <w:rsid w:val="643B7C00"/>
    <w:rsid w:val="6A152CA1"/>
    <w:rsid w:val="6DDB5FB0"/>
    <w:rsid w:val="75E55C1E"/>
    <w:rsid w:val="793F3897"/>
    <w:rsid w:val="7E6B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F61C0B"/>
  <w15:docId w15:val="{2C5C4448-70B8-4F47-9241-A599187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d">
    <w:name w:val="Title"/>
    <w:basedOn w:val="a"/>
    <w:next w:val="a"/>
    <w:link w:val="ae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annotation subject"/>
    <w:basedOn w:val="a3"/>
    <w:next w:val="a3"/>
    <w:link w:val="af0"/>
    <w:uiPriority w:val="99"/>
    <w:semiHidden/>
    <w:unhideWhenUsed/>
    <w:rPr>
      <w:b/>
      <w:bCs/>
    </w:rPr>
  </w:style>
  <w:style w:type="character" w:styleId="af1">
    <w:name w:val="Strong"/>
    <w:basedOn w:val="a0"/>
    <w:uiPriority w:val="22"/>
    <w:qFormat/>
    <w:rPr>
      <w:b/>
      <w:bCs/>
    </w:rPr>
  </w:style>
  <w:style w:type="character" w:styleId="af2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e">
    <w:name w:val="标题 字符"/>
    <w:basedOn w:val="a0"/>
    <w:link w:val="ad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副标题 字符"/>
    <w:basedOn w:val="a0"/>
    <w:link w:val="ab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3">
    <w:name w:val="Quote"/>
    <w:basedOn w:val="a"/>
    <w:next w:val="a"/>
    <w:link w:val="af4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4">
    <w:name w:val="引用 字符"/>
    <w:basedOn w:val="a0"/>
    <w:link w:val="af3"/>
    <w:uiPriority w:val="29"/>
    <w:rPr>
      <w:i/>
      <w:iCs/>
      <w:color w:val="404040" w:themeColor="text1" w:themeTint="BF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6">
    <w:name w:val="Intense Quote"/>
    <w:basedOn w:val="a"/>
    <w:next w:val="a"/>
    <w:link w:val="af7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7">
    <w:name w:val="明显引用 字符"/>
    <w:basedOn w:val="a0"/>
    <w:link w:val="af6"/>
    <w:uiPriority w:val="30"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</w:style>
  <w:style w:type="character" w:customStyle="1" w:styleId="af0">
    <w:name w:val="批注主题 字符"/>
    <w:basedOn w:val="a4"/>
    <w:link w:val="af"/>
    <w:uiPriority w:val="99"/>
    <w:semiHidden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customStyle="1" w:styleId="EndNoteBibliographyTitle">
    <w:name w:val="EndNote Bibliography Title"/>
    <w:basedOn w:val="a"/>
    <w:link w:val="EndNoteBibliographyTitle0"/>
    <w:rsid w:val="00152FE3"/>
    <w:pPr>
      <w:jc w:val="center"/>
    </w:pPr>
    <w:rPr>
      <w:rFonts w:ascii="等线" w:eastAsia="等线" w:hAnsi="等线"/>
      <w:noProof/>
      <w:sz w:val="20"/>
    </w:rPr>
  </w:style>
  <w:style w:type="character" w:customStyle="1" w:styleId="EndNoteBibliographyTitle0">
    <w:name w:val="EndNote Bibliography Title 字符"/>
    <w:basedOn w:val="a0"/>
    <w:link w:val="EndNoteBibliographyTitle"/>
    <w:rsid w:val="00152FE3"/>
    <w:rPr>
      <w:rFonts w:ascii="等线" w:eastAsia="等线" w:hAnsi="等线"/>
      <w:noProof/>
      <w:kern w:val="2"/>
      <w:szCs w:val="22"/>
    </w:rPr>
  </w:style>
  <w:style w:type="paragraph" w:customStyle="1" w:styleId="EndNoteBibliography">
    <w:name w:val="EndNote Bibliography"/>
    <w:basedOn w:val="a"/>
    <w:link w:val="EndNoteBibliography0"/>
    <w:rsid w:val="00152FE3"/>
    <w:rPr>
      <w:rFonts w:ascii="等线" w:eastAsia="等线" w:hAnsi="等线"/>
      <w:noProof/>
      <w:sz w:val="20"/>
    </w:rPr>
  </w:style>
  <w:style w:type="character" w:customStyle="1" w:styleId="EndNoteBibliography0">
    <w:name w:val="EndNote Bibliography 字符"/>
    <w:basedOn w:val="a0"/>
    <w:link w:val="EndNoteBibliography"/>
    <w:rsid w:val="00152FE3"/>
    <w:rPr>
      <w:rFonts w:ascii="等线" w:eastAsia="等线" w:hAnsi="等线"/>
      <w:noProof/>
      <w:kern w:val="2"/>
      <w:szCs w:val="22"/>
    </w:rPr>
  </w:style>
  <w:style w:type="character" w:styleId="af8">
    <w:name w:val="Hyperlink"/>
    <w:basedOn w:val="a0"/>
    <w:uiPriority w:val="99"/>
    <w:unhideWhenUsed/>
    <w:rsid w:val="00152FE3"/>
    <w:rPr>
      <w:color w:val="467886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152F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i.org/10.7150/jca.100147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636</Words>
  <Characters>3228</Characters>
  <Application>Microsoft Office Word</Application>
  <DocSecurity>0</DocSecurity>
  <Lines>26</Lines>
  <Paragraphs>7</Paragraphs>
  <ScaleCrop>false</ScaleCrop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慧毓 马</dc:creator>
  <cp:lastModifiedBy>Erin Hee</cp:lastModifiedBy>
  <cp:revision>13</cp:revision>
  <dcterms:created xsi:type="dcterms:W3CDTF">2025-03-12T14:30:00Z</dcterms:created>
  <dcterms:modified xsi:type="dcterms:W3CDTF">2025-05-20T01:28:00Z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14f8f298-25cd-437b-91fc-e9e926142b5b</vt:lpwstr>
  </property>
  <property fmtid="{D5CDD505-2E9C-101B-9397-08002B2CF9AE}" pid="3" name="KSOTemplateDocerSaveRecord">
    <vt:lpwstr>eyJoZGlkIjoiYjkyZmNhZmMwYTRkMzdjNDc0ZDBiODA4ZTNmNjg2YzYiLCJ1c2VySWQiOiIyOTk3OTk5NjkifQ==</vt:lpwstr>
  </property>
  <property fmtid="{D5CDD505-2E9C-101B-9397-08002B2CF9AE}" pid="4" name="KSOProductBuildVer">
    <vt:lpwstr>2052-12.1.0.21171</vt:lpwstr>
  </property>
  <property fmtid="{D5CDD505-2E9C-101B-9397-08002B2CF9AE}" pid="5" name="ICV">
    <vt:lpwstr>50C0671DFAFD4704B775CA99787B923E_12</vt:lpwstr>
  </property>
</Properties>
</file>